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2C1C" w14:textId="48F09CD4" w:rsidR="001E7C64" w:rsidRDefault="00D629A6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Wedge Diagram </w:t>
      </w:r>
    </w:p>
    <w:p w14:paraId="2B911739" w14:textId="77777777" w:rsidR="001E7C64" w:rsidRDefault="00D629A6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Dates are on the x-axis and GHG emissions are on the y-axis. </w:t>
      </w:r>
    </w:p>
    <w:p w14:paraId="7834B281" w14:textId="77777777" w:rsidR="001E7C64" w:rsidRDefault="00D629A6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The top of the chart represents a ‘reference’ scenario, typically an extrapolation of what might happen if no additional policies are implemented. </w:t>
      </w:r>
    </w:p>
    <w:p w14:paraId="18B10609" w14:textId="77777777" w:rsidR="001E7C64" w:rsidRDefault="00D629A6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Each ‘wedge’ represents a specific policy and the associated emissions reduction year over year.</w:t>
      </w:r>
    </w:p>
    <w:p w14:paraId="5A4154D2" w14:textId="77777777" w:rsidR="001E7C64" w:rsidRDefault="00D629A6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The combina</w:t>
      </w:r>
      <w:r>
        <w:rPr>
          <w:rFonts w:ascii="Montserrat" w:eastAsia="Montserrat" w:hAnsi="Montserrat" w:cs="Montserrat"/>
        </w:rPr>
        <w:t xml:space="preserve">tion of the wedges represents the overall GHG reduction resulting from the combination of policies against the reference scenario.  </w:t>
      </w:r>
    </w:p>
    <w:p w14:paraId="175FD60E" w14:textId="77777777" w:rsidR="001E7C64" w:rsidRDefault="00D629A6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The order in which the policies are implemented can influence the size of the wedge. For example, if building retrofits are</w:t>
      </w:r>
      <w:r>
        <w:rPr>
          <w:rFonts w:ascii="Montserrat" w:eastAsia="Montserrat" w:hAnsi="Montserrat" w:cs="Montserrat"/>
        </w:rPr>
        <w:t xml:space="preserve"> implemented first, the size of the heat pump can be smaller. This dynamic happens on an annual basis.</w:t>
      </w:r>
    </w:p>
    <w:p w14:paraId="52A3A1CA" w14:textId="77777777" w:rsidR="001E7C64" w:rsidRDefault="00D629A6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The blue area under the curve represents the remaining emissions; if you sum this up over time, it can be called the carbon liability or carbon budget.</w:t>
      </w:r>
      <w:r>
        <w:rPr>
          <w:rFonts w:ascii="Montserrat" w:eastAsia="Montserrat" w:hAnsi="Montserrat" w:cs="Montserrat"/>
          <w:vertAlign w:val="superscript"/>
        </w:rPr>
        <w:footnoteReference w:id="1"/>
      </w:r>
      <w:r>
        <w:rPr>
          <w:rFonts w:ascii="Montserrat" w:eastAsia="Montserrat" w:hAnsi="Montserrat" w:cs="Montserrat"/>
        </w:rPr>
        <w:t xml:space="preserve"> </w:t>
      </w:r>
    </w:p>
    <w:p w14:paraId="6A829FE4" w14:textId="77777777" w:rsidR="001E7C64" w:rsidRDefault="00D629A6">
      <w:r>
        <w:rPr>
          <w:noProof/>
        </w:rPr>
        <w:drawing>
          <wp:inline distT="114300" distB="114300" distL="114300" distR="114300" wp14:anchorId="303CE20B" wp14:editId="2AB88F46">
            <wp:extent cx="6264242" cy="3814763"/>
            <wp:effectExtent l="0" t="0" r="0" b="0"/>
            <wp:docPr id="1" name="image1.png" descr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42" cy="3814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E7C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AE51" w14:textId="77777777" w:rsidR="00000000" w:rsidRDefault="00D629A6">
      <w:pPr>
        <w:spacing w:line="240" w:lineRule="auto"/>
      </w:pPr>
      <w:r>
        <w:separator/>
      </w:r>
    </w:p>
  </w:endnote>
  <w:endnote w:type="continuationSeparator" w:id="0">
    <w:p w14:paraId="2BEB97CE" w14:textId="77777777" w:rsidR="00000000" w:rsidRDefault="00D62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2AA7" w14:textId="77777777" w:rsidR="00000000" w:rsidRDefault="00D629A6">
      <w:pPr>
        <w:spacing w:line="240" w:lineRule="auto"/>
      </w:pPr>
      <w:r>
        <w:separator/>
      </w:r>
    </w:p>
  </w:footnote>
  <w:footnote w:type="continuationSeparator" w:id="0">
    <w:p w14:paraId="66514030" w14:textId="77777777" w:rsidR="00000000" w:rsidRDefault="00D629A6">
      <w:pPr>
        <w:spacing w:line="240" w:lineRule="auto"/>
      </w:pPr>
      <w:r>
        <w:continuationSeparator/>
      </w:r>
    </w:p>
  </w:footnote>
  <w:footnote w:id="1">
    <w:p w14:paraId="793E54A4" w14:textId="77777777" w:rsidR="001E7C64" w:rsidRDefault="00D629A6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Montserrat" w:eastAsia="Montserrat" w:hAnsi="Montserrat" w:cs="Montserrat"/>
          <w:sz w:val="20"/>
          <w:szCs w:val="20"/>
        </w:rPr>
        <w:t xml:space="preserve"> Carbon budgets can sometimes be associated with a target, such as the remaining fair share of the global carbon budget for 1.5 degrees downscaled to Washington State. Carbon budgets can also be analogous to a financial budget, the total amount of car</w:t>
      </w:r>
      <w:r>
        <w:rPr>
          <w:rFonts w:ascii="Montserrat" w:eastAsia="Montserrat" w:hAnsi="Montserrat" w:cs="Montserrat"/>
          <w:sz w:val="20"/>
          <w:szCs w:val="20"/>
        </w:rPr>
        <w:t>bon one is intended to “expend”.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121C0"/>
    <w:multiLevelType w:val="multilevel"/>
    <w:tmpl w:val="01EE6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1695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64"/>
    <w:rsid w:val="001E7C64"/>
    <w:rsid w:val="004F158F"/>
    <w:rsid w:val="00D6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B4F89"/>
  <w15:docId w15:val="{F9A3DCDB-59C9-4166-8389-0DB7031D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Doyle, Samantha (UTC)</cp:lastModifiedBy>
  <cp:revision>3</cp:revision>
  <dcterms:created xsi:type="dcterms:W3CDTF">2022-11-15T20:10:00Z</dcterms:created>
  <dcterms:modified xsi:type="dcterms:W3CDTF">2022-11-15T20:10:00Z</dcterms:modified>
</cp:coreProperties>
</file>